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F3" w:rsidRDefault="00FC0AF3" w:rsidP="00FC0AF3">
      <w:pPr>
        <w:spacing w:line="276" w:lineRule="auto"/>
        <w:contextualSpacing/>
        <w:jc w:val="center"/>
        <w:rPr>
          <w:b/>
        </w:rPr>
      </w:pPr>
      <w:r w:rsidRPr="00E76B18">
        <w:rPr>
          <w:b/>
        </w:rPr>
        <w:t xml:space="preserve">Psalm </w:t>
      </w:r>
      <w:r>
        <w:rPr>
          <w:b/>
        </w:rPr>
        <w:t>Seventy-Two</w:t>
      </w:r>
    </w:p>
    <w:p w:rsidR="00FC0AF3" w:rsidRDefault="00FC0AF3" w:rsidP="00FC0AF3">
      <w:pPr>
        <w:spacing w:line="276" w:lineRule="auto"/>
        <w:contextualSpacing/>
        <w:jc w:val="center"/>
        <w:rPr>
          <w:rFonts w:eastAsiaTheme="minorHAnsi"/>
          <w:i/>
          <w:lang w:bidi="he-IL"/>
        </w:rPr>
      </w:pPr>
      <w:r w:rsidRPr="004C5743">
        <w:rPr>
          <w:rFonts w:eastAsiaTheme="minorHAnsi"/>
          <w:i/>
          <w:iCs/>
          <w:lang w:bidi="he-IL"/>
        </w:rPr>
        <w:t>“</w:t>
      </w:r>
      <w:r>
        <w:rPr>
          <w:rFonts w:eastAsiaTheme="minorHAnsi"/>
          <w:i/>
          <w:iCs/>
          <w:lang w:bidi="he-IL"/>
        </w:rPr>
        <w:t>Give the king thy judgments, O God</w:t>
      </w:r>
      <w:r w:rsidRPr="004C5743">
        <w:rPr>
          <w:rFonts w:eastAsiaTheme="minorHAnsi"/>
          <w:i/>
          <w:lang w:bidi="he-IL"/>
        </w:rPr>
        <w:t>”</w:t>
      </w:r>
    </w:p>
    <w:p w:rsidR="00FC0AF3" w:rsidRPr="004C5743" w:rsidRDefault="00FC0AF3" w:rsidP="00FC0AF3">
      <w:pPr>
        <w:spacing w:line="276" w:lineRule="auto"/>
        <w:contextualSpacing/>
        <w:jc w:val="center"/>
        <w:rPr>
          <w:b/>
          <w:i/>
        </w:rPr>
      </w:pPr>
    </w:p>
    <w:p w:rsidR="00FC0AF3" w:rsidRPr="0037212F" w:rsidRDefault="00FC0AF3" w:rsidP="00FC0AF3">
      <w:pPr>
        <w:spacing w:line="276" w:lineRule="auto"/>
        <w:contextualSpacing/>
        <w:jc w:val="both"/>
        <w:rPr>
          <w:b/>
        </w:rPr>
      </w:pPr>
      <w:r w:rsidRPr="0037212F">
        <w:rPr>
          <w:b/>
        </w:rPr>
        <w:t>Introduction</w:t>
      </w:r>
      <w:r w:rsidR="00C61F82">
        <w:rPr>
          <w:b/>
        </w:rPr>
        <w:t xml:space="preserve"> </w:t>
      </w:r>
    </w:p>
    <w:p w:rsidR="00FC0AF3" w:rsidRDefault="00FC0AF3" w:rsidP="00FC0AF3">
      <w:pPr>
        <w:spacing w:line="276" w:lineRule="auto"/>
        <w:contextualSpacing/>
        <w:jc w:val="both"/>
      </w:pPr>
    </w:p>
    <w:p w:rsidR="00FC0AF3" w:rsidRPr="00192C07" w:rsidRDefault="00FC0AF3" w:rsidP="00FC0AF3">
      <w:pPr>
        <w:keepNext/>
        <w:framePr w:dropCap="drop" w:lines="3" w:wrap="around" w:vAnchor="text" w:hAnchor="text"/>
        <w:spacing w:line="952" w:lineRule="exact"/>
        <w:jc w:val="both"/>
        <w:textAlignment w:val="baseline"/>
        <w:rPr>
          <w:position w:val="-10"/>
          <w:sz w:val="124"/>
        </w:rPr>
      </w:pPr>
      <w:r w:rsidRPr="00192C07">
        <w:rPr>
          <w:position w:val="-10"/>
          <w:sz w:val="124"/>
        </w:rPr>
        <w:t>T</w:t>
      </w:r>
    </w:p>
    <w:p w:rsidR="00FC0AF3" w:rsidRDefault="00FC0AF3" w:rsidP="00FC0AF3">
      <w:pPr>
        <w:spacing w:line="276" w:lineRule="auto"/>
        <w:contextualSpacing/>
        <w:jc w:val="both"/>
      </w:pPr>
      <w:r>
        <w:t xml:space="preserve">he Hebrew text of the title reads </w:t>
      </w:r>
      <w:r w:rsidRPr="009C0000">
        <w:rPr>
          <w:i/>
          <w:iCs/>
        </w:rPr>
        <w:t>lishlomoh</w:t>
      </w:r>
      <w:r>
        <w:rPr>
          <w:i/>
          <w:iCs/>
        </w:rPr>
        <w:t xml:space="preserve"> </w:t>
      </w:r>
      <w:r>
        <w:t xml:space="preserve">which could be rendered </w:t>
      </w:r>
      <w:r w:rsidRPr="009C0000">
        <w:rPr>
          <w:i/>
          <w:iCs/>
        </w:rPr>
        <w:t>“</w:t>
      </w:r>
      <w:r>
        <w:rPr>
          <w:i/>
          <w:iCs/>
        </w:rPr>
        <w:t>for</w:t>
      </w:r>
      <w:r w:rsidRPr="009C0000">
        <w:rPr>
          <w:i/>
          <w:iCs/>
        </w:rPr>
        <w:t>”</w:t>
      </w:r>
      <w:r>
        <w:t xml:space="preserve"> or </w:t>
      </w:r>
      <w:r w:rsidRPr="009C0000">
        <w:rPr>
          <w:i/>
          <w:iCs/>
        </w:rPr>
        <w:t>“of”</w:t>
      </w:r>
      <w:r>
        <w:t xml:space="preserve"> Solomon.</w:t>
      </w:r>
      <w:r>
        <w:rPr>
          <w:rStyle w:val="FootnoteReference"/>
        </w:rPr>
        <w:footnoteReference w:id="1"/>
      </w:r>
      <w:r>
        <w:t xml:space="preserve">  Since the last line refers to the end of the prayers of David (v. 20), it behooves the exegete to treat the psalm as a Davidic prayer for his son and successor Solomon. Furthermore, the previous psalm referred to King David as old and greyheaded (Ps. 71:18) and embattled with Adonijah (Ps. 71:4).  The canonical order then suggests that David prayed for the continuation of the </w:t>
      </w:r>
      <w:r w:rsidRPr="004D073F">
        <w:rPr>
          <w:color w:val="000000" w:themeColor="text1"/>
          <w:shd w:val="clear" w:color="auto" w:fill="FFFFFF"/>
        </w:rPr>
        <w:t xml:space="preserve">hereditary monarchy </w:t>
      </w:r>
      <w:r>
        <w:t xml:space="preserve">through his choice of Solomon (II Sam. 7:12-16). In fact, there is an inspired canonical order since Paul declared that Ps. 2:7 was indeed in the </w:t>
      </w:r>
      <w:r w:rsidRPr="009D00F8">
        <w:rPr>
          <w:i/>
        </w:rPr>
        <w:t>“second psalm”</w:t>
      </w:r>
      <w:r>
        <w:t xml:space="preserve"> (Acts 13:33).  Therefore, it is with biblical certainty (I Jn 2:20) that the exegesis of Ps. 72 will follow the interpretation that David wrote this as a prayer </w:t>
      </w:r>
      <w:r w:rsidRPr="00490908">
        <w:rPr>
          <w:b/>
          <w:i/>
        </w:rPr>
        <w:t>for</w:t>
      </w:r>
      <w:r>
        <w:t xml:space="preserve"> Solomon. </w:t>
      </w:r>
    </w:p>
    <w:p w:rsidR="00FC0AF3" w:rsidRDefault="00FC0AF3" w:rsidP="00FC0AF3">
      <w:pPr>
        <w:spacing w:line="276" w:lineRule="auto"/>
        <w:ind w:firstLine="720"/>
        <w:contextualSpacing/>
        <w:jc w:val="both"/>
      </w:pPr>
      <w:r>
        <w:t xml:space="preserve">To David, the everlasting dynasty of the Kingdom of Heaven culminating in the Lord Jesus Christ, was promised, was challenged, and would ultimately be fulfilled.  He prayed that the Lord would bless the anointed King Solomon.  This royal psalm finds limited </w:t>
      </w:r>
      <w:r w:rsidR="00DA2A95">
        <w:t>fulfillment</w:t>
      </w:r>
      <w:r>
        <w:t xml:space="preserve"> in Solomon but ultimate fulfillment in the eternal King, the Lord Jesus Christ.  This exegete of Ps. 72 will interpret the content believing that David wrote his prayer </w:t>
      </w:r>
      <w:r w:rsidRPr="001D071C">
        <w:rPr>
          <w:i/>
        </w:rPr>
        <w:t>“for Solomon.”</w:t>
      </w:r>
      <w:r>
        <w:t xml:space="preserve">  </w:t>
      </w:r>
    </w:p>
    <w:p w:rsidR="00FC0AF3" w:rsidRDefault="00FC0AF3" w:rsidP="00FC0AF3">
      <w:pPr>
        <w:spacing w:line="276" w:lineRule="auto"/>
        <w:ind w:firstLine="720"/>
        <w:contextualSpacing/>
        <w:jc w:val="both"/>
      </w:pPr>
    </w:p>
    <w:p w:rsidR="00FC0AF3" w:rsidRPr="00A44D2E" w:rsidRDefault="00FC0AF3" w:rsidP="007E2685">
      <w:pPr>
        <w:spacing w:line="276" w:lineRule="auto"/>
        <w:contextualSpacing/>
        <w:jc w:val="both"/>
        <w:rPr>
          <w:b/>
        </w:rPr>
      </w:pPr>
      <w:r w:rsidRPr="00A44D2E">
        <w:rPr>
          <w:b/>
        </w:rPr>
        <w:t>Structure</w:t>
      </w:r>
    </w:p>
    <w:p w:rsidR="00FC0AF3" w:rsidRDefault="00FC0AF3" w:rsidP="007E2685">
      <w:pPr>
        <w:spacing w:line="276" w:lineRule="auto"/>
        <w:contextualSpacing/>
        <w:jc w:val="both"/>
      </w:pPr>
    </w:p>
    <w:p w:rsidR="00FC0AF3" w:rsidRPr="007E2685" w:rsidRDefault="00FC0AF3" w:rsidP="007E2685">
      <w:pPr>
        <w:spacing w:line="276" w:lineRule="auto"/>
        <w:contextualSpacing/>
        <w:jc w:val="both"/>
        <w:rPr>
          <w:b/>
        </w:rPr>
      </w:pPr>
      <w:r w:rsidRPr="007E2685">
        <w:rPr>
          <w:b/>
        </w:rPr>
        <w:t>A. The Psalm for Solomon (v. 1a)</w:t>
      </w:r>
    </w:p>
    <w:p w:rsidR="00FC0AF3" w:rsidRPr="007E2685" w:rsidRDefault="00FC0AF3" w:rsidP="007E2685">
      <w:pPr>
        <w:spacing w:line="276" w:lineRule="auto"/>
        <w:ind w:firstLine="720"/>
        <w:contextualSpacing/>
        <w:jc w:val="both"/>
        <w:rPr>
          <w:b/>
        </w:rPr>
      </w:pPr>
      <w:r w:rsidRPr="007E2685">
        <w:rPr>
          <w:b/>
        </w:rPr>
        <w:t>B. His Practical Righteousness (v. 1b-4)</w:t>
      </w:r>
    </w:p>
    <w:p w:rsidR="00FC0AF3" w:rsidRDefault="00FC0AF3" w:rsidP="007E2685">
      <w:pPr>
        <w:spacing w:line="276" w:lineRule="auto"/>
        <w:ind w:left="720" w:firstLine="720"/>
        <w:contextualSpacing/>
        <w:jc w:val="both"/>
      </w:pPr>
      <w:r>
        <w:t>C.  His Perpetual Reign (vv. 5-11)</w:t>
      </w:r>
    </w:p>
    <w:p w:rsidR="00FC0AF3" w:rsidRDefault="00FC0AF3" w:rsidP="007E2685">
      <w:pPr>
        <w:spacing w:line="276" w:lineRule="auto"/>
        <w:contextualSpacing/>
        <w:jc w:val="both"/>
      </w:pPr>
      <w:r>
        <w:tab/>
      </w:r>
      <w:r>
        <w:tab/>
      </w:r>
      <w:r>
        <w:tab/>
        <w:t>D. His Purposeful Redemption (vv. 12-14)</w:t>
      </w:r>
    </w:p>
    <w:p w:rsidR="00FC0AF3" w:rsidRDefault="00FC0AF3" w:rsidP="007E2685">
      <w:pPr>
        <w:spacing w:line="276" w:lineRule="auto"/>
        <w:ind w:left="720" w:firstLine="720"/>
        <w:contextualSpacing/>
        <w:jc w:val="both"/>
      </w:pPr>
      <w:r>
        <w:t>C.’ His Perpetual Reign (vv. 15-17)</w:t>
      </w:r>
    </w:p>
    <w:p w:rsidR="00FC0AF3" w:rsidRDefault="00FC0AF3" w:rsidP="007E2685">
      <w:pPr>
        <w:spacing w:line="276" w:lineRule="auto"/>
        <w:contextualSpacing/>
        <w:jc w:val="both"/>
      </w:pPr>
      <w:r>
        <w:tab/>
        <w:t>B.’ His Practical Righteousness (vv. 18-19)</w:t>
      </w:r>
    </w:p>
    <w:p w:rsidR="00FC0AF3" w:rsidRDefault="00FC0AF3" w:rsidP="007E2685">
      <w:pPr>
        <w:spacing w:line="276" w:lineRule="auto"/>
        <w:contextualSpacing/>
        <w:jc w:val="both"/>
      </w:pPr>
      <w:r>
        <w:t xml:space="preserve">A.’ </w:t>
      </w:r>
      <w:proofErr w:type="gramStart"/>
      <w:r>
        <w:t>The</w:t>
      </w:r>
      <w:proofErr w:type="gramEnd"/>
      <w:r>
        <w:t xml:space="preserve"> Prayers of David (v. 20)</w:t>
      </w:r>
    </w:p>
    <w:p w:rsidR="00FC0AF3" w:rsidRDefault="00FC0AF3" w:rsidP="007E2685">
      <w:pPr>
        <w:spacing w:line="276" w:lineRule="auto"/>
        <w:contextualSpacing/>
        <w:jc w:val="both"/>
      </w:pPr>
    </w:p>
    <w:p w:rsidR="00FC0AF3" w:rsidRPr="001D071C" w:rsidRDefault="00FC0AF3" w:rsidP="007E2685">
      <w:pPr>
        <w:spacing w:line="276" w:lineRule="auto"/>
        <w:contextualSpacing/>
        <w:jc w:val="both"/>
        <w:rPr>
          <w:b/>
        </w:rPr>
      </w:pPr>
      <w:r w:rsidRPr="001D071C">
        <w:rPr>
          <w:b/>
        </w:rPr>
        <w:t xml:space="preserve">Exegesis </w:t>
      </w:r>
    </w:p>
    <w:p w:rsidR="00FC0AF3" w:rsidRDefault="00FC0AF3" w:rsidP="007E2685">
      <w:pPr>
        <w:spacing w:line="276" w:lineRule="auto"/>
        <w:contextualSpacing/>
        <w:jc w:val="both"/>
      </w:pPr>
    </w:p>
    <w:p w:rsidR="00DA2A95" w:rsidRPr="00DA2A95" w:rsidRDefault="00DA2A95" w:rsidP="007E2685">
      <w:pPr>
        <w:spacing w:line="276" w:lineRule="auto"/>
        <w:contextualSpacing/>
        <w:jc w:val="both"/>
        <w:rPr>
          <w:b/>
        </w:rPr>
      </w:pPr>
      <w:r w:rsidRPr="00DA2A95">
        <w:rPr>
          <w:b/>
        </w:rPr>
        <w:t>A. The Psalm for Solomon (v. 1a)</w:t>
      </w:r>
    </w:p>
    <w:p w:rsidR="00DA2A95" w:rsidRPr="00DA2A95" w:rsidRDefault="00DA2A95" w:rsidP="007E2685">
      <w:pPr>
        <w:spacing w:line="276" w:lineRule="auto"/>
        <w:contextualSpacing/>
        <w:jc w:val="both"/>
      </w:pPr>
      <w:r>
        <w:tab/>
      </w:r>
      <w:r w:rsidRPr="0016153B">
        <w:rPr>
          <w:b/>
          <w:i/>
        </w:rPr>
        <w:t>1. The Title</w:t>
      </w:r>
      <w:r>
        <w:t xml:space="preserve"> &gt; </w:t>
      </w:r>
      <w:r w:rsidRPr="00DA2A95">
        <w:rPr>
          <w:rFonts w:eastAsiaTheme="minorHAnsi"/>
          <w:i/>
          <w:iCs/>
          <w:lang w:bidi="he-IL"/>
        </w:rPr>
        <w:t xml:space="preserve">A Psalm </w:t>
      </w:r>
      <w:r w:rsidRPr="00DA2A95">
        <w:rPr>
          <w:rFonts w:eastAsiaTheme="minorHAnsi"/>
          <w:lang w:bidi="he-IL"/>
        </w:rPr>
        <w:t>for Solomon</w:t>
      </w:r>
      <w:r>
        <w:rPr>
          <w:rFonts w:eastAsiaTheme="minorHAnsi"/>
          <w:lang w:bidi="he-IL"/>
        </w:rPr>
        <w:t xml:space="preserve"> </w:t>
      </w:r>
    </w:p>
    <w:p w:rsidR="00DA2A95" w:rsidRPr="00DA2A95" w:rsidRDefault="00DA2A95" w:rsidP="007E2685">
      <w:pPr>
        <w:spacing w:line="276" w:lineRule="auto"/>
        <w:contextualSpacing/>
        <w:jc w:val="both"/>
      </w:pPr>
      <w:r>
        <w:tab/>
      </w:r>
      <w:r>
        <w:tab/>
        <w:t xml:space="preserve">a. The Expression &gt; </w:t>
      </w:r>
      <w:r w:rsidRPr="00DA2A95">
        <w:rPr>
          <w:rFonts w:eastAsiaTheme="minorHAnsi"/>
          <w:i/>
          <w:lang w:bidi="he-IL"/>
        </w:rPr>
        <w:t>lishlomoh</w:t>
      </w:r>
      <w:r>
        <w:rPr>
          <w:rFonts w:eastAsiaTheme="minorHAnsi"/>
          <w:i/>
          <w:lang w:bidi="he-IL"/>
        </w:rPr>
        <w:t xml:space="preserve"> &gt;li &gt; </w:t>
      </w:r>
      <w:r w:rsidRPr="00DA2A95">
        <w:rPr>
          <w:rFonts w:eastAsiaTheme="minorHAnsi"/>
          <w:lang w:bidi="he-IL"/>
        </w:rPr>
        <w:t>“to” or “for”</w:t>
      </w:r>
    </w:p>
    <w:p w:rsidR="00DA2A95" w:rsidRDefault="00DA2A95" w:rsidP="007E2685">
      <w:pPr>
        <w:spacing w:line="276" w:lineRule="auto"/>
        <w:contextualSpacing/>
        <w:jc w:val="both"/>
      </w:pPr>
      <w:r>
        <w:tab/>
      </w:r>
      <w:r>
        <w:tab/>
        <w:t>b. The Examples &gt; “for Solomon”</w:t>
      </w:r>
    </w:p>
    <w:p w:rsidR="00DA2A95" w:rsidRDefault="00DA2A95" w:rsidP="007E2685">
      <w:pPr>
        <w:spacing w:line="276" w:lineRule="auto"/>
        <w:contextualSpacing/>
        <w:jc w:val="both"/>
      </w:pPr>
      <w:r>
        <w:tab/>
      </w:r>
      <w:r>
        <w:tab/>
      </w:r>
      <w:r>
        <w:tab/>
        <w:t xml:space="preserve">1) </w:t>
      </w:r>
      <w:r w:rsidRPr="009A2C8C">
        <w:rPr>
          <w:i/>
        </w:rPr>
        <w:t>Darby</w:t>
      </w:r>
      <w:r w:rsidR="009A2C8C">
        <w:t xml:space="preserve"> &gt; For Solomon</w:t>
      </w:r>
    </w:p>
    <w:p w:rsidR="00DA2A95" w:rsidRDefault="00DA2A95" w:rsidP="007E2685">
      <w:pPr>
        <w:spacing w:line="276" w:lineRule="auto"/>
        <w:contextualSpacing/>
        <w:jc w:val="both"/>
      </w:pPr>
      <w:r>
        <w:tab/>
      </w:r>
      <w:r>
        <w:tab/>
      </w:r>
      <w:r>
        <w:tab/>
        <w:t xml:space="preserve">2) </w:t>
      </w:r>
      <w:r w:rsidR="009A2C8C">
        <w:t>NET &gt; For Solomon</w:t>
      </w:r>
    </w:p>
    <w:p w:rsidR="00DA2A95" w:rsidRDefault="00DA2A95" w:rsidP="007E2685">
      <w:pPr>
        <w:spacing w:line="276" w:lineRule="auto"/>
        <w:contextualSpacing/>
        <w:jc w:val="both"/>
      </w:pPr>
      <w:r>
        <w:tab/>
      </w:r>
      <w:r>
        <w:tab/>
      </w:r>
      <w:r>
        <w:tab/>
        <w:t xml:space="preserve">3) </w:t>
      </w:r>
      <w:r w:rsidR="009A2C8C" w:rsidRPr="009A2C8C">
        <w:rPr>
          <w:i/>
        </w:rPr>
        <w:t>Douay-Rheims</w:t>
      </w:r>
      <w:r w:rsidR="009A2C8C">
        <w:t xml:space="preserve"> &gt; On Solomon</w:t>
      </w:r>
      <w:r>
        <w:tab/>
      </w:r>
    </w:p>
    <w:p w:rsidR="00DA2A95" w:rsidRDefault="009A2C8C" w:rsidP="007E2685">
      <w:pPr>
        <w:spacing w:line="276" w:lineRule="auto"/>
        <w:contextualSpacing/>
        <w:jc w:val="both"/>
      </w:pPr>
      <w:r>
        <w:tab/>
      </w:r>
      <w:r>
        <w:tab/>
      </w:r>
      <w:r>
        <w:tab/>
        <w:t xml:space="preserve">4) </w:t>
      </w:r>
      <w:r w:rsidRPr="009A2C8C">
        <w:rPr>
          <w:i/>
        </w:rPr>
        <w:t>LXX</w:t>
      </w:r>
      <w:r>
        <w:t xml:space="preserve"> &gt; For Solomon</w:t>
      </w:r>
    </w:p>
    <w:p w:rsidR="00DA2A95" w:rsidRDefault="00DA2A95" w:rsidP="007E2685">
      <w:pPr>
        <w:spacing w:line="276" w:lineRule="auto"/>
        <w:ind w:left="720"/>
        <w:contextualSpacing/>
        <w:jc w:val="both"/>
      </w:pPr>
      <w:r w:rsidRPr="0016153B">
        <w:rPr>
          <w:b/>
          <w:i/>
        </w:rPr>
        <w:t>2. The Teaching</w:t>
      </w:r>
      <w:r w:rsidR="00DC1CD7">
        <w:t xml:space="preserve"> &gt; the chronology of the Second Book of the Psaltery follows David’s ouster and his response to Absalom, and then to his response to the ouster of Solomon by Adonijah.  How appropriate </w:t>
      </w:r>
      <w:r w:rsidR="00DC1CD7">
        <w:lastRenderedPageBreak/>
        <w:t>was this Psalm for the prayer of David concerning the kingship of Solomon and perhaps for his son Rehoboam</w:t>
      </w:r>
      <w:r w:rsidR="004F04E1">
        <w:t xml:space="preserve"> or the ultimate Son Jesus Christ</w:t>
      </w:r>
      <w:r w:rsidR="00DC1CD7">
        <w:t xml:space="preserve">? </w:t>
      </w:r>
    </w:p>
    <w:p w:rsidR="00DA2A95" w:rsidRDefault="00DA2A95" w:rsidP="007E2685">
      <w:pPr>
        <w:spacing w:line="276" w:lineRule="auto"/>
        <w:contextualSpacing/>
        <w:jc w:val="both"/>
      </w:pPr>
    </w:p>
    <w:p w:rsidR="00DA2A95" w:rsidRPr="00DC1CD7" w:rsidRDefault="00DA2A95" w:rsidP="007E2685">
      <w:pPr>
        <w:spacing w:line="276" w:lineRule="auto"/>
        <w:ind w:firstLine="720"/>
        <w:contextualSpacing/>
        <w:jc w:val="both"/>
        <w:rPr>
          <w:b/>
        </w:rPr>
      </w:pPr>
      <w:r w:rsidRPr="00DC1CD7">
        <w:rPr>
          <w:b/>
        </w:rPr>
        <w:t>B. His Practical Righteousness (</w:t>
      </w:r>
      <w:r w:rsidR="006E0990">
        <w:rPr>
          <w:b/>
        </w:rPr>
        <w:t>v</w:t>
      </w:r>
      <w:r w:rsidRPr="00DC1CD7">
        <w:rPr>
          <w:b/>
        </w:rPr>
        <w:t>v. 1b-4)</w:t>
      </w:r>
    </w:p>
    <w:p w:rsidR="00B604D5" w:rsidRPr="006E0990" w:rsidRDefault="00DC1CD7" w:rsidP="007E2685">
      <w:pPr>
        <w:spacing w:line="276" w:lineRule="auto"/>
        <w:contextualSpacing/>
        <w:jc w:val="both"/>
        <w:rPr>
          <w:b/>
          <w:i/>
        </w:rPr>
      </w:pPr>
      <w:r>
        <w:tab/>
      </w:r>
      <w:r>
        <w:tab/>
      </w:r>
      <w:r w:rsidRPr="006E0990">
        <w:rPr>
          <w:b/>
          <w:i/>
        </w:rPr>
        <w:t>1. His Practice of Righteousness (</w:t>
      </w:r>
      <w:r w:rsidR="006E0990">
        <w:rPr>
          <w:b/>
          <w:i/>
        </w:rPr>
        <w:t xml:space="preserve">vv. </w:t>
      </w:r>
      <w:r w:rsidR="006E0990" w:rsidRPr="006E0990">
        <w:rPr>
          <w:b/>
          <w:i/>
        </w:rPr>
        <w:t>1b-2</w:t>
      </w:r>
      <w:r w:rsidRPr="006E0990">
        <w:rPr>
          <w:b/>
          <w:i/>
        </w:rPr>
        <w:t>)</w:t>
      </w:r>
    </w:p>
    <w:p w:rsidR="00DC1CD7" w:rsidRDefault="00DC1CD7" w:rsidP="007E2685">
      <w:pPr>
        <w:spacing w:line="276" w:lineRule="auto"/>
        <w:contextualSpacing/>
        <w:jc w:val="both"/>
      </w:pPr>
      <w:r>
        <w:tab/>
      </w:r>
      <w:r>
        <w:tab/>
      </w:r>
      <w:r>
        <w:tab/>
        <w:t xml:space="preserve">a. His Judgment of </w:t>
      </w:r>
      <w:r w:rsidR="006E0990">
        <w:t xml:space="preserve">the </w:t>
      </w:r>
      <w:r>
        <w:t>People</w:t>
      </w:r>
      <w:r w:rsidR="006E0990">
        <w:t xml:space="preserve"> (vv. 1b-2a)</w:t>
      </w:r>
    </w:p>
    <w:p w:rsidR="006E0990" w:rsidRDefault="006E0990" w:rsidP="007E2685">
      <w:pPr>
        <w:spacing w:line="276" w:lineRule="auto"/>
        <w:contextualSpacing/>
        <w:jc w:val="both"/>
      </w:pPr>
      <w:r>
        <w:tab/>
      </w:r>
      <w:r>
        <w:tab/>
      </w:r>
      <w:r>
        <w:tab/>
      </w:r>
      <w:r>
        <w:tab/>
        <w:t>1) In General (v. 1b)</w:t>
      </w:r>
      <w:r w:rsidR="00E54AF9">
        <w:t xml:space="preserve"> &gt; I Ki. 1:39</w:t>
      </w:r>
      <w:r w:rsidR="0016153B">
        <w:t xml:space="preserve"> (Solomon); I Ki. 11:43(Rehoboam) </w:t>
      </w:r>
    </w:p>
    <w:p w:rsidR="006E0990" w:rsidRDefault="006E0990" w:rsidP="007E2685">
      <w:pPr>
        <w:spacing w:line="276" w:lineRule="auto"/>
        <w:contextualSpacing/>
        <w:jc w:val="both"/>
      </w:pPr>
      <w:r>
        <w:tab/>
      </w:r>
      <w:r>
        <w:tab/>
      </w:r>
      <w:r>
        <w:tab/>
      </w:r>
      <w:r>
        <w:tab/>
        <w:t>2) In Specific (v. 2a)</w:t>
      </w:r>
      <w:r w:rsidR="0016153B">
        <w:t xml:space="preserve"> &gt; I Ki. 3:6-9</w:t>
      </w:r>
    </w:p>
    <w:p w:rsidR="00DC1CD7" w:rsidRDefault="00DC1CD7" w:rsidP="007E2685">
      <w:pPr>
        <w:spacing w:line="276" w:lineRule="auto"/>
        <w:contextualSpacing/>
        <w:jc w:val="both"/>
      </w:pPr>
      <w:r>
        <w:tab/>
      </w:r>
      <w:r>
        <w:tab/>
      </w:r>
      <w:r>
        <w:tab/>
        <w:t xml:space="preserve">b. His Judgment of </w:t>
      </w:r>
      <w:r w:rsidR="006E0990">
        <w:t xml:space="preserve">the </w:t>
      </w:r>
      <w:r>
        <w:t>Poor</w:t>
      </w:r>
      <w:r w:rsidR="006E0990">
        <w:t xml:space="preserve"> (v. 2b)</w:t>
      </w:r>
      <w:r w:rsidR="0016153B">
        <w:t xml:space="preserve"> &gt; Ps. 68:5</w:t>
      </w:r>
    </w:p>
    <w:p w:rsidR="00DC1CD7" w:rsidRDefault="00DC1CD7" w:rsidP="007E2685">
      <w:pPr>
        <w:spacing w:line="276" w:lineRule="auto"/>
        <w:contextualSpacing/>
        <w:jc w:val="both"/>
      </w:pPr>
    </w:p>
    <w:p w:rsidR="00DC1CD7" w:rsidRPr="00A37CCA" w:rsidRDefault="00DC1CD7" w:rsidP="007E2685">
      <w:pPr>
        <w:spacing w:line="276" w:lineRule="auto"/>
        <w:contextualSpacing/>
        <w:jc w:val="both"/>
      </w:pPr>
      <w:r>
        <w:tab/>
      </w:r>
      <w:r>
        <w:tab/>
      </w:r>
      <w:r>
        <w:tab/>
      </w:r>
      <w:r w:rsidRPr="006E0990">
        <w:rPr>
          <w:b/>
          <w:i/>
        </w:rPr>
        <w:t>2. His Peace (v. 3)</w:t>
      </w:r>
      <w:r w:rsidR="00A37CCA">
        <w:rPr>
          <w:b/>
          <w:i/>
        </w:rPr>
        <w:t xml:space="preserve"> &gt; </w:t>
      </w:r>
      <w:proofErr w:type="gramStart"/>
      <w:r w:rsidR="00A37CCA" w:rsidRPr="00A37CCA">
        <w:t>see  v</w:t>
      </w:r>
      <w:proofErr w:type="gramEnd"/>
      <w:r w:rsidR="00A37CCA" w:rsidRPr="00A37CCA">
        <w:t>. 7</w:t>
      </w:r>
    </w:p>
    <w:p w:rsidR="006E0990" w:rsidRPr="006E0990" w:rsidRDefault="006E0990" w:rsidP="007E2685">
      <w:pPr>
        <w:spacing w:line="276" w:lineRule="auto"/>
        <w:contextualSpacing/>
        <w:jc w:val="both"/>
      </w:pPr>
      <w:r>
        <w:rPr>
          <w:b/>
          <w:i/>
        </w:rPr>
        <w:tab/>
      </w:r>
      <w:r>
        <w:rPr>
          <w:b/>
          <w:i/>
        </w:rPr>
        <w:tab/>
      </w:r>
      <w:r>
        <w:rPr>
          <w:b/>
          <w:i/>
        </w:rPr>
        <w:tab/>
      </w:r>
      <w:r>
        <w:rPr>
          <w:b/>
          <w:i/>
        </w:rPr>
        <w:tab/>
      </w:r>
      <w:r w:rsidRPr="006E0990">
        <w:t>a.</w:t>
      </w:r>
      <w:r>
        <w:t xml:space="preserve"> I Chr. 22:9</w:t>
      </w:r>
    </w:p>
    <w:p w:rsidR="006E0990" w:rsidRPr="006E0990" w:rsidRDefault="006E0990" w:rsidP="007E2685">
      <w:pPr>
        <w:spacing w:line="276" w:lineRule="auto"/>
        <w:contextualSpacing/>
        <w:jc w:val="both"/>
      </w:pPr>
      <w:r w:rsidRPr="006E0990">
        <w:tab/>
      </w:r>
      <w:r w:rsidRPr="006E0990">
        <w:tab/>
      </w:r>
      <w:r w:rsidRPr="006E0990">
        <w:tab/>
      </w:r>
      <w:r w:rsidRPr="006E0990">
        <w:tab/>
      </w:r>
      <w:proofErr w:type="gramStart"/>
      <w:r w:rsidRPr="006E0990">
        <w:t>b</w:t>
      </w:r>
      <w:proofErr w:type="gramEnd"/>
      <w:r w:rsidRPr="006E0990">
        <w:t>.</w:t>
      </w:r>
      <w:r>
        <w:t xml:space="preserve"> </w:t>
      </w:r>
      <w:r w:rsidR="00564C98">
        <w:t>Isa. 2:4</w:t>
      </w:r>
    </w:p>
    <w:p w:rsidR="00DC1CD7" w:rsidRDefault="00564C98" w:rsidP="007E2685">
      <w:pPr>
        <w:spacing w:line="276" w:lineRule="auto"/>
        <w:contextualSpacing/>
        <w:jc w:val="both"/>
      </w:pPr>
      <w:r>
        <w:tab/>
      </w:r>
      <w:r>
        <w:tab/>
      </w:r>
      <w:r>
        <w:tab/>
      </w:r>
      <w:r>
        <w:tab/>
      </w:r>
      <w:proofErr w:type="gramStart"/>
      <w:r>
        <w:t>c</w:t>
      </w:r>
      <w:proofErr w:type="gramEnd"/>
      <w:r>
        <w:t>. Isa. 9:6-7</w:t>
      </w:r>
    </w:p>
    <w:p w:rsidR="00564C98" w:rsidRDefault="00564C98" w:rsidP="007E2685">
      <w:pPr>
        <w:spacing w:line="276" w:lineRule="auto"/>
        <w:contextualSpacing/>
        <w:jc w:val="both"/>
      </w:pPr>
      <w:r>
        <w:tab/>
      </w:r>
      <w:r>
        <w:tab/>
      </w:r>
      <w:r>
        <w:tab/>
      </w:r>
      <w:r>
        <w:tab/>
      </w:r>
      <w:proofErr w:type="gramStart"/>
      <w:r>
        <w:t>d</w:t>
      </w:r>
      <w:proofErr w:type="gramEnd"/>
      <w:r>
        <w:t>. Zech. 9:10</w:t>
      </w:r>
    </w:p>
    <w:p w:rsidR="00564C98" w:rsidRDefault="00564C98" w:rsidP="007E2685">
      <w:pPr>
        <w:spacing w:line="276" w:lineRule="auto"/>
        <w:contextualSpacing/>
        <w:jc w:val="both"/>
      </w:pPr>
    </w:p>
    <w:p w:rsidR="00DC1CD7" w:rsidRPr="006E0990" w:rsidRDefault="00DC1CD7" w:rsidP="007E2685">
      <w:pPr>
        <w:spacing w:line="276" w:lineRule="auto"/>
        <w:contextualSpacing/>
        <w:jc w:val="both"/>
        <w:rPr>
          <w:b/>
          <w:i/>
        </w:rPr>
      </w:pPr>
      <w:r>
        <w:tab/>
      </w:r>
      <w:r>
        <w:tab/>
      </w:r>
      <w:r w:rsidRPr="006E0990">
        <w:rPr>
          <w:b/>
          <w:i/>
        </w:rPr>
        <w:t>1.’ His Practice of Righteousness</w:t>
      </w:r>
      <w:r w:rsidR="006E0990" w:rsidRPr="006E0990">
        <w:rPr>
          <w:b/>
          <w:i/>
        </w:rPr>
        <w:t xml:space="preserve"> (v. 4)</w:t>
      </w:r>
    </w:p>
    <w:p w:rsidR="00DC1CD7" w:rsidRDefault="006E0990" w:rsidP="007E2685">
      <w:pPr>
        <w:spacing w:line="276" w:lineRule="auto"/>
        <w:contextualSpacing/>
        <w:jc w:val="both"/>
      </w:pPr>
      <w:r>
        <w:tab/>
      </w:r>
      <w:r>
        <w:tab/>
      </w:r>
      <w:r>
        <w:tab/>
        <w:t xml:space="preserve">a. His Judgment of the Poor (v. 4a) </w:t>
      </w:r>
      <w:r w:rsidR="0016153B">
        <w:t>&gt; Isa. 11:4</w:t>
      </w:r>
    </w:p>
    <w:p w:rsidR="00DC1CD7" w:rsidRDefault="006E0990" w:rsidP="007E2685">
      <w:pPr>
        <w:spacing w:line="276" w:lineRule="auto"/>
        <w:contextualSpacing/>
        <w:jc w:val="both"/>
      </w:pPr>
      <w:r>
        <w:tab/>
      </w:r>
      <w:r>
        <w:tab/>
      </w:r>
      <w:r>
        <w:tab/>
        <w:t xml:space="preserve">b. His Judgment of the </w:t>
      </w:r>
      <w:r w:rsidR="0016153B">
        <w:t>N</w:t>
      </w:r>
      <w:r>
        <w:t>eedy (v. 4b)</w:t>
      </w:r>
      <w:r w:rsidR="0016153B">
        <w:t xml:space="preserve"> &gt; Ps. 72:12-13</w:t>
      </w:r>
    </w:p>
    <w:p w:rsidR="00DC1CD7" w:rsidRDefault="006E0990" w:rsidP="007E2685">
      <w:pPr>
        <w:spacing w:line="276" w:lineRule="auto"/>
        <w:contextualSpacing/>
        <w:jc w:val="both"/>
      </w:pPr>
      <w:r>
        <w:tab/>
      </w:r>
      <w:r>
        <w:tab/>
      </w:r>
      <w:r>
        <w:tab/>
        <w:t xml:space="preserve">c. His Judgment on the </w:t>
      </w:r>
      <w:r w:rsidR="0016153B">
        <w:t>O</w:t>
      </w:r>
      <w:r>
        <w:t>ppressor (v. 4c)</w:t>
      </w:r>
      <w:r w:rsidR="0016153B">
        <w:t xml:space="preserve"> &gt; Isa. 9:4-5</w:t>
      </w:r>
    </w:p>
    <w:p w:rsidR="005B1A40" w:rsidRDefault="005B1A40" w:rsidP="007E2685">
      <w:pPr>
        <w:spacing w:line="276" w:lineRule="auto"/>
        <w:contextualSpacing/>
        <w:jc w:val="both"/>
      </w:pPr>
    </w:p>
    <w:p w:rsidR="00DC1CD7" w:rsidRPr="00DC1CD7" w:rsidRDefault="00DC1CD7" w:rsidP="007E2685">
      <w:pPr>
        <w:spacing w:line="276" w:lineRule="auto"/>
        <w:contextualSpacing/>
        <w:jc w:val="both"/>
        <w:rPr>
          <w:b/>
        </w:rPr>
      </w:pPr>
      <w:r w:rsidRPr="00DC1CD7">
        <w:rPr>
          <w:b/>
        </w:rPr>
        <w:t>CONCLUSION:</w:t>
      </w:r>
      <w:r w:rsidR="0016153B">
        <w:rPr>
          <w:b/>
        </w:rPr>
        <w:t xml:space="preserve">  At the end of the life of David, he prayed for the continuation of the </w:t>
      </w:r>
      <w:r w:rsidR="007E2685">
        <w:rPr>
          <w:b/>
        </w:rPr>
        <w:t xml:space="preserve">promised </w:t>
      </w:r>
      <w:r w:rsidR="0016153B">
        <w:rPr>
          <w:b/>
        </w:rPr>
        <w:t>Davidic Dynasty through Solomon and his son Rehoboam</w:t>
      </w:r>
      <w:r w:rsidR="007E2685">
        <w:rPr>
          <w:b/>
        </w:rPr>
        <w:t xml:space="preserve">, culminating in the ultimate Seed of David, the </w:t>
      </w:r>
      <w:r w:rsidR="004F04E1">
        <w:rPr>
          <w:b/>
        </w:rPr>
        <w:t xml:space="preserve">Son of David, the </w:t>
      </w:r>
      <w:r w:rsidR="007E2685">
        <w:rPr>
          <w:b/>
        </w:rPr>
        <w:t>Lord Jesus Christ (cf. Mt. 1:1-17).</w:t>
      </w:r>
      <w:r w:rsidR="0016153B">
        <w:rPr>
          <w:b/>
        </w:rPr>
        <w:t xml:space="preserve">   </w:t>
      </w:r>
    </w:p>
    <w:p w:rsidR="00DC1CD7" w:rsidRDefault="00DC1CD7" w:rsidP="007E2685">
      <w:pPr>
        <w:spacing w:line="276" w:lineRule="auto"/>
        <w:contextualSpacing/>
        <w:jc w:val="both"/>
      </w:pPr>
    </w:p>
    <w:sectPr w:rsidR="00DC1CD7" w:rsidSect="00FC0AF3">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B56" w:rsidRDefault="005F6B56" w:rsidP="00FC0AF3">
      <w:r>
        <w:separator/>
      </w:r>
    </w:p>
  </w:endnote>
  <w:endnote w:type="continuationSeparator" w:id="0">
    <w:p w:rsidR="005F6B56" w:rsidRDefault="005F6B56" w:rsidP="00FC0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B56" w:rsidRDefault="005F6B56" w:rsidP="00FC0AF3">
      <w:r>
        <w:separator/>
      </w:r>
    </w:p>
  </w:footnote>
  <w:footnote w:type="continuationSeparator" w:id="0">
    <w:p w:rsidR="005F6B56" w:rsidRDefault="005F6B56" w:rsidP="00FC0AF3">
      <w:r>
        <w:continuationSeparator/>
      </w:r>
    </w:p>
  </w:footnote>
  <w:footnote w:id="1">
    <w:p w:rsidR="00FC0AF3" w:rsidRPr="005E4F57" w:rsidRDefault="00FC0AF3" w:rsidP="00FC0AF3">
      <w:pPr>
        <w:pStyle w:val="FootnoteText"/>
        <w:spacing w:line="276" w:lineRule="auto"/>
        <w:ind w:firstLine="720"/>
        <w:contextualSpacing/>
        <w:jc w:val="both"/>
        <w:rPr>
          <w:i/>
          <w:sz w:val="22"/>
          <w:szCs w:val="22"/>
        </w:rPr>
      </w:pPr>
      <w:r w:rsidRPr="005E4F57">
        <w:rPr>
          <w:rStyle w:val="FootnoteReference"/>
          <w:sz w:val="22"/>
          <w:szCs w:val="22"/>
        </w:rPr>
        <w:footnoteRef/>
      </w:r>
      <w:r w:rsidRPr="005E4F57">
        <w:rPr>
          <w:sz w:val="22"/>
          <w:szCs w:val="22"/>
        </w:rPr>
        <w:t xml:space="preserve">The English translation that the LORD has honored for 413 years is the </w:t>
      </w:r>
      <w:r w:rsidRPr="005E4F57">
        <w:rPr>
          <w:i/>
          <w:sz w:val="22"/>
          <w:szCs w:val="22"/>
        </w:rPr>
        <w:t>Authorized Version</w:t>
      </w:r>
      <w:r w:rsidRPr="005E4F57">
        <w:rPr>
          <w:sz w:val="22"/>
          <w:szCs w:val="22"/>
        </w:rPr>
        <w:t xml:space="preserve"> or </w:t>
      </w:r>
      <w:r w:rsidRPr="005E4F57">
        <w:rPr>
          <w:i/>
          <w:sz w:val="22"/>
          <w:szCs w:val="22"/>
        </w:rPr>
        <w:t>King James Version</w:t>
      </w:r>
      <w:r w:rsidRPr="005E4F57">
        <w:rPr>
          <w:sz w:val="22"/>
          <w:szCs w:val="22"/>
        </w:rPr>
        <w:t xml:space="preserve"> of 1611, and the translators interpreted the heading and first verse of Psalm Seventy-Two as </w:t>
      </w:r>
      <w:r w:rsidRPr="005E4F57">
        <w:rPr>
          <w:i/>
          <w:sz w:val="22"/>
          <w:szCs w:val="22"/>
        </w:rPr>
        <w:t xml:space="preserve">“A Psalm </w:t>
      </w:r>
      <w:r w:rsidRPr="007E2685">
        <w:rPr>
          <w:b/>
          <w:i/>
          <w:sz w:val="22"/>
          <w:szCs w:val="22"/>
        </w:rPr>
        <w:t>for</w:t>
      </w:r>
      <w:r w:rsidRPr="005E4F57">
        <w:rPr>
          <w:i/>
          <w:sz w:val="22"/>
          <w:szCs w:val="22"/>
        </w:rPr>
        <w:t xml:space="preserve"> Solomon.”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FC0AF3"/>
    <w:rsid w:val="0016153B"/>
    <w:rsid w:val="001C269F"/>
    <w:rsid w:val="00387A88"/>
    <w:rsid w:val="004B088E"/>
    <w:rsid w:val="004F04E1"/>
    <w:rsid w:val="00564C98"/>
    <w:rsid w:val="005B1A40"/>
    <w:rsid w:val="005F6B56"/>
    <w:rsid w:val="006E0990"/>
    <w:rsid w:val="007663F2"/>
    <w:rsid w:val="007C67E5"/>
    <w:rsid w:val="007E2685"/>
    <w:rsid w:val="00880FE6"/>
    <w:rsid w:val="009813DA"/>
    <w:rsid w:val="009A2C8C"/>
    <w:rsid w:val="00A37CCA"/>
    <w:rsid w:val="00B604D5"/>
    <w:rsid w:val="00C61F82"/>
    <w:rsid w:val="00CB093A"/>
    <w:rsid w:val="00DA2A95"/>
    <w:rsid w:val="00DC1CD7"/>
    <w:rsid w:val="00E54AF9"/>
    <w:rsid w:val="00F7015B"/>
    <w:rsid w:val="00FC0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F3"/>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C0AF3"/>
    <w:rPr>
      <w:sz w:val="20"/>
      <w:szCs w:val="20"/>
    </w:rPr>
  </w:style>
  <w:style w:type="character" w:customStyle="1" w:styleId="FootnoteTextChar">
    <w:name w:val="Footnote Text Char"/>
    <w:basedOn w:val="DefaultParagraphFont"/>
    <w:link w:val="FootnoteText"/>
    <w:semiHidden/>
    <w:rsid w:val="00FC0AF3"/>
    <w:rPr>
      <w:rFonts w:ascii="Times New Roman" w:eastAsia="Times New Roman" w:hAnsi="Times New Roman" w:cs="Times New Roman"/>
      <w:sz w:val="20"/>
      <w:szCs w:val="20"/>
    </w:rPr>
  </w:style>
  <w:style w:type="character" w:styleId="FootnoteReference">
    <w:name w:val="footnote reference"/>
    <w:basedOn w:val="DefaultParagraphFont"/>
    <w:semiHidden/>
    <w:rsid w:val="00FC0AF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6</cp:revision>
  <dcterms:created xsi:type="dcterms:W3CDTF">2024-10-14T16:06:00Z</dcterms:created>
  <dcterms:modified xsi:type="dcterms:W3CDTF">2024-10-17T11:53:00Z</dcterms:modified>
</cp:coreProperties>
</file>